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D80B" w14:textId="08714118" w:rsidR="00AF7119" w:rsidRDefault="00AF7119" w:rsidP="00AF711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>
        <w:rPr>
          <w:rFonts w:eastAsia="Calibri"/>
          <w:b/>
          <w:smallCaps/>
          <w:sz w:val="49"/>
          <w:szCs w:val="49"/>
        </w:rPr>
        <w:t xml:space="preserve">Word of Life: </w:t>
      </w:r>
      <w:r w:rsidR="00236F85">
        <w:rPr>
          <w:rFonts w:eastAsia="Calibri"/>
          <w:b/>
          <w:smallCaps/>
          <w:sz w:val="49"/>
          <w:szCs w:val="49"/>
        </w:rPr>
        <w:t>August</w:t>
      </w:r>
      <w:r>
        <w:rPr>
          <w:rFonts w:eastAsia="Calibri"/>
          <w:b/>
          <w:smallCaps/>
          <w:sz w:val="49"/>
          <w:szCs w:val="49"/>
        </w:rPr>
        <w:t xml:space="preserve"> 20</w:t>
      </w:r>
      <w:r w:rsidR="00297E79">
        <w:rPr>
          <w:rFonts w:eastAsia="Calibri"/>
          <w:b/>
          <w:smallCaps/>
          <w:sz w:val="49"/>
          <w:szCs w:val="49"/>
        </w:rPr>
        <w:t>2</w:t>
      </w:r>
      <w:r w:rsidR="007E01B7">
        <w:rPr>
          <w:rFonts w:eastAsia="Calibri"/>
          <w:b/>
          <w:smallCaps/>
          <w:sz w:val="49"/>
          <w:szCs w:val="49"/>
        </w:rPr>
        <w:t>1</w:t>
      </w:r>
    </w:p>
    <w:p w14:paraId="31BDE3C1" w14:textId="3A22B5FD" w:rsidR="00AF7119" w:rsidRPr="003577EB" w:rsidRDefault="00AF7119" w:rsidP="00AF711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bookmarkStart w:id="0" w:name="_Hlk521409590"/>
      <w:bookmarkEnd w:id="0"/>
      <w:r w:rsidRPr="00B35D6D">
        <w:rPr>
          <w:rFonts w:eastAsia="Calibri"/>
          <w:i/>
        </w:rPr>
        <w:t>Recommended dates are provided, but you are welcome to use these materials at any time!</w:t>
      </w:r>
      <w:bookmarkStart w:id="1" w:name="_Hlk511402195"/>
    </w:p>
    <w:p w14:paraId="075F9DF2" w14:textId="77777777" w:rsidR="00BD4769" w:rsidRDefault="00827270" w:rsidP="00F13344">
      <w:bookmarkStart w:id="2" w:name="_Hlk522611759"/>
      <w:r w:rsidRPr="00CC690D">
        <w:rPr>
          <w:b/>
          <w:bCs/>
          <w:smallCaps/>
          <w:sz w:val="32"/>
          <w:szCs w:val="32"/>
        </w:rPr>
        <w:t>Featured this Month…</w:t>
      </w:r>
    </w:p>
    <w:p w14:paraId="00FDA88C" w14:textId="6993E0FC" w:rsidR="00DE4538" w:rsidRPr="007E01B7" w:rsidRDefault="00DE3DEA" w:rsidP="005173DD">
      <w:pPr>
        <w:spacing w:after="120"/>
        <w:rPr>
          <w:b/>
          <w:bCs/>
          <w:sz w:val="28"/>
          <w:szCs w:val="28"/>
        </w:rPr>
      </w:pPr>
      <w:r w:rsidRPr="00280139">
        <w:rPr>
          <w:rFonts w:eastAsia="Calibri"/>
          <w:b/>
          <w:smallCaps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352BC000" wp14:editId="1C18CBEC">
            <wp:simplePos x="0" y="0"/>
            <wp:positionH relativeFrom="margin">
              <wp:posOffset>3469005</wp:posOffset>
            </wp:positionH>
            <wp:positionV relativeFrom="paragraph">
              <wp:posOffset>618396</wp:posOffset>
            </wp:positionV>
            <wp:extent cx="2645410" cy="2645410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B7">
        <w:rPr>
          <w:b/>
          <w:bCs/>
        </w:rPr>
        <w:br/>
      </w:r>
      <w:r w:rsidR="00C33214" w:rsidRPr="007E01B7">
        <w:rPr>
          <w:b/>
          <w:bCs/>
          <w:sz w:val="28"/>
          <w:szCs w:val="28"/>
        </w:rPr>
        <w:t xml:space="preserve">Reflection on the </w:t>
      </w:r>
      <w:r w:rsidR="005173DD" w:rsidRPr="007E01B7">
        <w:rPr>
          <w:b/>
          <w:bCs/>
          <w:sz w:val="28"/>
          <w:szCs w:val="28"/>
        </w:rPr>
        <w:t>Solemnity of</w:t>
      </w:r>
      <w:r w:rsidR="009E41DE" w:rsidRPr="007E01B7">
        <w:rPr>
          <w:b/>
          <w:bCs/>
          <w:sz w:val="28"/>
          <w:szCs w:val="28"/>
        </w:rPr>
        <w:t xml:space="preserve"> the Assumption of the Blessed Virgin Mary</w:t>
      </w:r>
      <w:r w:rsidR="002917BF" w:rsidRPr="007E01B7">
        <w:rPr>
          <w:b/>
          <w:bCs/>
          <w:sz w:val="28"/>
          <w:szCs w:val="28"/>
        </w:rPr>
        <w:t xml:space="preserve"> </w:t>
      </w:r>
      <w:r w:rsidR="000E2C42" w:rsidRPr="007E01B7">
        <w:rPr>
          <w:b/>
          <w:bCs/>
          <w:sz w:val="28"/>
          <w:szCs w:val="28"/>
        </w:rPr>
        <w:br/>
      </w:r>
      <w:r w:rsidR="002917BF" w:rsidRPr="007E01B7">
        <w:rPr>
          <w:b/>
          <w:bCs/>
          <w:sz w:val="28"/>
          <w:szCs w:val="28"/>
        </w:rPr>
        <w:t>August 15, 20</w:t>
      </w:r>
      <w:r w:rsidR="000E2C42" w:rsidRPr="007E01B7">
        <w:rPr>
          <w:b/>
          <w:bCs/>
          <w:sz w:val="28"/>
          <w:szCs w:val="28"/>
        </w:rPr>
        <w:t>2</w:t>
      </w:r>
      <w:r w:rsidR="007E01B7" w:rsidRPr="007E01B7">
        <w:rPr>
          <w:b/>
          <w:bCs/>
          <w:sz w:val="28"/>
          <w:szCs w:val="28"/>
        </w:rPr>
        <w:t>1</w:t>
      </w:r>
    </w:p>
    <w:p w14:paraId="2DEF96C7" w14:textId="1DA54D51" w:rsidR="00500C99" w:rsidRPr="00C72943" w:rsidRDefault="004F31A8" w:rsidP="002917BF">
      <w:pPr>
        <w:spacing w:after="120"/>
      </w:pPr>
      <w:r w:rsidRPr="00C72943">
        <w:t>T</w:t>
      </w:r>
      <w:r w:rsidR="002917BF" w:rsidRPr="00C72943">
        <w:t>he Solemnity of the Assumption celebrate</w:t>
      </w:r>
      <w:r w:rsidRPr="00C72943">
        <w:t>s</w:t>
      </w:r>
      <w:r w:rsidR="002917BF" w:rsidRPr="00C72943">
        <w:t xml:space="preserve"> </w:t>
      </w:r>
      <w:r w:rsidR="0029401F" w:rsidRPr="00C72943">
        <w:t>the</w:t>
      </w:r>
      <w:r w:rsidR="00815B67" w:rsidRPr="00C72943">
        <w:t xml:space="preserve"> Blessed Mother’s</w:t>
      </w:r>
      <w:r w:rsidR="002917BF" w:rsidRPr="00C72943">
        <w:t xml:space="preserve"> entrance into heavenly glory. The </w:t>
      </w:r>
      <w:r w:rsidR="002917BF" w:rsidRPr="00C72943">
        <w:rPr>
          <w:i/>
          <w:iCs/>
        </w:rPr>
        <w:t xml:space="preserve">Catechism </w:t>
      </w:r>
      <w:r w:rsidR="002917BF" w:rsidRPr="00C72943">
        <w:t xml:space="preserve">explains that </w:t>
      </w:r>
      <w:r w:rsidR="00E431BA" w:rsidRPr="00C72943">
        <w:t xml:space="preserve">Mary </w:t>
      </w:r>
      <w:r w:rsidR="002917BF" w:rsidRPr="00C72943">
        <w:t>“was taken up body and soul into the glory of heaven, where she already shares in the glory of her Son</w:t>
      </w:r>
      <w:r w:rsidR="00500C99" w:rsidRPr="00C72943">
        <w:t>’</w:t>
      </w:r>
      <w:r w:rsidR="002917BF" w:rsidRPr="00C72943">
        <w:t>s Resurrection, anticipating the resurrection of all members of his Body” (CCC, 974).</w:t>
      </w:r>
      <w:r w:rsidR="00703A06" w:rsidRPr="00C72943">
        <w:t xml:space="preserve"> </w:t>
      </w:r>
    </w:p>
    <w:p w14:paraId="6F18CB4A" w14:textId="713A67F6" w:rsidR="00500C99" w:rsidRPr="00C72943" w:rsidRDefault="00DE3DEA" w:rsidP="002917BF">
      <w:pPr>
        <w:spacing w:after="120"/>
      </w:pPr>
      <w:r w:rsidRPr="00C72943">
        <w:rPr>
          <w:rFonts w:eastAsia="Calibri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E9CC626" wp14:editId="40CBDDB8">
                <wp:simplePos x="0" y="0"/>
                <wp:positionH relativeFrom="column">
                  <wp:posOffset>3468370</wp:posOffset>
                </wp:positionH>
                <wp:positionV relativeFrom="paragraph">
                  <wp:posOffset>1491412</wp:posOffset>
                </wp:positionV>
                <wp:extent cx="2713990" cy="28194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5A9A" w14:textId="49F7A740" w:rsidR="005C370E" w:rsidRPr="00DE3DEA" w:rsidRDefault="00912D10" w:rsidP="005C370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"https://www.usccb.org/resources/assumption-graphic" </w:instrText>
                            </w:r>
                            <w:r>
                              <w:fldChar w:fldCharType="separate"/>
                            </w:r>
                            <w:r w:rsidR="005C370E" w:rsidRPr="00D521F0">
                              <w:rPr>
                                <w:rStyle w:val="Hyperlink"/>
                                <w:bCs/>
                                <w:sz w:val="22"/>
                                <w:szCs w:val="22"/>
                              </w:rPr>
                              <w:t>Download</w:t>
                            </w:r>
                            <w:r>
                              <w:rPr>
                                <w:rStyle w:val="Hyperlink"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9CC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pt;margin-top:117.45pt;width:213.7pt;height:22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" stroked="f">
                <v:textbox>
                  <w:txbxContent>
                    <w:p w14:paraId="478A5A9A" w14:textId="49F7A740" w:rsidR="005C370E" w:rsidRPr="00DE3DEA" w:rsidRDefault="00D521F0" w:rsidP="005C370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Cs/>
                          <w:sz w:val="22"/>
                          <w:szCs w:val="22"/>
                        </w:rPr>
                        <w:instrText xml:space="preserve"> HYPERLINK "https://www.usccb.org/resources/assumption-graphic" </w:instrText>
                      </w:r>
                      <w:r>
                        <w:rPr>
                          <w:bCs/>
                          <w:sz w:val="22"/>
                          <w:szCs w:val="22"/>
                        </w:rPr>
                      </w:r>
                      <w:r>
                        <w:rPr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5C370E" w:rsidRPr="00D521F0">
                        <w:rPr>
                          <w:rStyle w:val="Hyperlink"/>
                          <w:bCs/>
                          <w:sz w:val="22"/>
                          <w:szCs w:val="22"/>
                        </w:rPr>
                        <w:t>Download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99" w:rsidRPr="00C72943">
        <w:t>Mary’s Assumption into heaven reminds us that life on earth is a pilgrimage to our ultimate destination. We prepare in hope for our own passage into eternal life by the choices we make today. When we choose to love and follow God</w:t>
      </w:r>
      <w:r w:rsidR="00A26825" w:rsidRPr="00C72943">
        <w:t xml:space="preserve"> in our daily lives, </w:t>
      </w:r>
      <w:r w:rsidR="00500C99" w:rsidRPr="00C72943">
        <w:t>we strengthen our relationship with Him</w:t>
      </w:r>
      <w:r w:rsidR="00A26825" w:rsidRPr="00C72943">
        <w:t>, and t</w:t>
      </w:r>
      <w:r w:rsidR="00500C99" w:rsidRPr="00C72943">
        <w:t>his relationship is the true meaning of heaven: “To live in heaven is ‘to be with Christ’” (CCC, 1025</w:t>
      </w:r>
      <w:r w:rsidR="00431E6C" w:rsidRPr="00C72943">
        <w:t xml:space="preserve"> citing St. Ambrose, </w:t>
      </w:r>
      <w:r w:rsidR="00431E6C" w:rsidRPr="00C72943">
        <w:rPr>
          <w:i/>
          <w:iCs/>
        </w:rPr>
        <w:t>In Luc</w:t>
      </w:r>
      <w:proofErr w:type="gramStart"/>
      <w:r w:rsidR="00431E6C" w:rsidRPr="00C72943">
        <w:rPr>
          <w:i/>
          <w:iCs/>
        </w:rPr>
        <w:t>.</w:t>
      </w:r>
      <w:r w:rsidR="00431E6C" w:rsidRPr="00C72943">
        <w:t>,10,121</w:t>
      </w:r>
      <w:proofErr w:type="gramEnd"/>
      <w:r w:rsidR="00431E6C" w:rsidRPr="00C72943">
        <w:t>:PL 15 1834A.</w:t>
      </w:r>
      <w:r w:rsidR="00500C99" w:rsidRPr="00C72943">
        <w:t>).</w:t>
      </w:r>
    </w:p>
    <w:p w14:paraId="5CFFC51F" w14:textId="4F8D0D0C" w:rsidR="00431E6C" w:rsidRPr="00C72943" w:rsidRDefault="005C370E" w:rsidP="002917BF">
      <w:pPr>
        <w:spacing w:after="120"/>
      </w:pPr>
      <w:r w:rsidRPr="00C72943">
        <w:rPr>
          <w:rFonts w:eastAsia="Calibri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C167BC" wp14:editId="2D42A305">
                <wp:simplePos x="0" y="0"/>
                <wp:positionH relativeFrom="column">
                  <wp:posOffset>3469005</wp:posOffset>
                </wp:positionH>
                <wp:positionV relativeFrom="paragraph">
                  <wp:posOffset>249123</wp:posOffset>
                </wp:positionV>
                <wp:extent cx="2713990" cy="309308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3045" w14:textId="68571751" w:rsidR="00607522" w:rsidRPr="0032292A" w:rsidRDefault="00607522" w:rsidP="00EE5A13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3229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Need a photo to go with this reflection? </w:t>
                            </w:r>
                          </w:p>
                          <w:p w14:paraId="7C477E4F" w14:textId="1601F709" w:rsidR="00607522" w:rsidRPr="0032292A" w:rsidRDefault="0060752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2292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Many works of art are believed to be in the common domain and are available to download from museum websites. </w:t>
                            </w:r>
                          </w:p>
                          <w:p w14:paraId="18143284" w14:textId="77777777" w:rsidR="00607522" w:rsidRDefault="00607522"/>
                          <w:p w14:paraId="179A26C1" w14:textId="3C473CB1" w:rsidR="00607522" w:rsidRPr="0032292A" w:rsidRDefault="00912D10" w:rsidP="00EE5A13">
                            <w:pPr>
                              <w:spacing w:after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607522" w:rsidRPr="0032292A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The Assumption of the Virgin</w:t>
                              </w:r>
                            </w:hyperlink>
                            <w:r w:rsidR="00607522" w:rsidRPr="003229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07522" w:rsidRPr="0032292A">
                              <w:rPr>
                                <w:b/>
                                <w:sz w:val="22"/>
                                <w:szCs w:val="22"/>
                              </w:rPr>
                              <w:t>Bergognone</w:t>
                            </w:r>
                            <w:proofErr w:type="spellEnd"/>
                            <w:r w:rsidR="00607522" w:rsidRPr="003229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FC154F" w14:textId="77777777" w:rsidR="00242D42" w:rsidRDefault="00903C7D" w:rsidP="00242D42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54795">
                              <w:rPr>
                                <w:b/>
                                <w:sz w:val="20"/>
                                <w:szCs w:val="20"/>
                              </w:rPr>
                              <w:t>Credit:</w:t>
                            </w:r>
                            <w:r w:rsidRPr="005547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4795">
                              <w:rPr>
                                <w:sz w:val="20"/>
                                <w:szCs w:val="20"/>
                              </w:rPr>
                              <w:t>Bergognone</w:t>
                            </w:r>
                            <w:proofErr w:type="spellEnd"/>
                            <w:r w:rsidRPr="00554795">
                              <w:rPr>
                                <w:sz w:val="20"/>
                                <w:szCs w:val="20"/>
                              </w:rPr>
                              <w:t>, “The Assumption of the Virgin,” Oil and Gold on Wood, ca. 1453-1523, Fletcher Fund, 1926, courtesy of The Metropolitan Museum of Art, New York, NY.</w:t>
                            </w:r>
                          </w:p>
                          <w:p w14:paraId="26637942" w14:textId="78A675A4" w:rsidR="00607522" w:rsidRPr="00242D42" w:rsidRDefault="00912D10" w:rsidP="00242D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07522" w:rsidRPr="0032292A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The Assumption</w:t>
                              </w:r>
                            </w:hyperlink>
                            <w:r w:rsidR="00607522" w:rsidRPr="003229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Laurent de La </w:t>
                            </w:r>
                            <w:proofErr w:type="spellStart"/>
                            <w:r w:rsidR="00607522" w:rsidRPr="0032292A">
                              <w:rPr>
                                <w:b/>
                                <w:sz w:val="22"/>
                                <w:szCs w:val="22"/>
                              </w:rPr>
                              <w:t>Hyre</w:t>
                            </w:r>
                            <w:proofErr w:type="spellEnd"/>
                          </w:p>
                          <w:p w14:paraId="0F9C8CBB" w14:textId="5FC34A46" w:rsidR="00EE5A13" w:rsidRPr="00554795" w:rsidRDefault="00EE5A13" w:rsidP="00EE5A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Credit: </w:t>
                            </w:r>
                            <w:r w:rsidRPr="00554795">
                              <w:rPr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proofErr w:type="spellStart"/>
                            <w:r w:rsidRPr="00554795">
                              <w:rPr>
                                <w:sz w:val="20"/>
                                <w:szCs w:val="20"/>
                              </w:rPr>
                              <w:t>Hyre</w:t>
                            </w:r>
                            <w:proofErr w:type="spellEnd"/>
                            <w:r w:rsidRPr="00554795">
                              <w:rPr>
                                <w:sz w:val="20"/>
                                <w:szCs w:val="20"/>
                              </w:rPr>
                              <w:t xml:space="preserve">, Laurent, “The Assumption,” oil on canvas, ca. 1653, The </w:t>
                            </w:r>
                            <w:proofErr w:type="spellStart"/>
                            <w:r w:rsidRPr="00554795">
                              <w:rPr>
                                <w:sz w:val="20"/>
                                <w:szCs w:val="20"/>
                              </w:rPr>
                              <w:t>Ciechanowiecki</w:t>
                            </w:r>
                            <w:proofErr w:type="spellEnd"/>
                            <w:r w:rsidRPr="00554795">
                              <w:rPr>
                                <w:sz w:val="20"/>
                                <w:szCs w:val="20"/>
                              </w:rPr>
                              <w:t xml:space="preserve"> Collection, Gift of The Ahmanson Foundation, courtesy of the Los Angeles County Museum of Art.</w:t>
                            </w:r>
                          </w:p>
                          <w:p w14:paraId="5E4D4088" w14:textId="77777777" w:rsidR="00607522" w:rsidRPr="00607522" w:rsidRDefault="00607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C167BC" id="_x0000_s1027" type="#_x0000_t202" style="position:absolute;margin-left:273.15pt;margin-top:19.6pt;width:213.7pt;height:24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9lJwIAAE4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">
                <v:textbox>
                  <w:txbxContent>
                    <w:p w14:paraId="4B253045" w14:textId="68571751" w:rsidR="00607522" w:rsidRPr="0032292A" w:rsidRDefault="00607522" w:rsidP="00EE5A13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32292A">
                        <w:rPr>
                          <w:b/>
                          <w:sz w:val="22"/>
                          <w:szCs w:val="22"/>
                        </w:rPr>
                        <w:t xml:space="preserve">Need a photo to go with this reflection? </w:t>
                      </w:r>
                    </w:p>
                    <w:p w14:paraId="7C477E4F" w14:textId="1601F709" w:rsidR="00607522" w:rsidRPr="0032292A" w:rsidRDefault="0060752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32292A">
                        <w:rPr>
                          <w:i/>
                          <w:sz w:val="22"/>
                          <w:szCs w:val="22"/>
                        </w:rPr>
                        <w:t xml:space="preserve">Many works of art are believed to be in the common domain and are available to download from museum websites. </w:t>
                      </w:r>
                    </w:p>
                    <w:p w14:paraId="18143284" w14:textId="77777777" w:rsidR="00607522" w:rsidRDefault="00607522"/>
                    <w:p w14:paraId="179A26C1" w14:textId="3C473CB1" w:rsidR="00607522" w:rsidRPr="0032292A" w:rsidRDefault="0069563D" w:rsidP="00EE5A13">
                      <w:pPr>
                        <w:spacing w:after="120"/>
                        <w:rPr>
                          <w:b/>
                          <w:sz w:val="22"/>
                          <w:szCs w:val="22"/>
                        </w:rPr>
                      </w:pPr>
                      <w:hyperlink r:id="rId15" w:history="1">
                        <w:r w:rsidR="00607522" w:rsidRPr="0032292A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The Assumption of the Virgin</w:t>
                        </w:r>
                      </w:hyperlink>
                      <w:r w:rsidR="00607522" w:rsidRPr="0032292A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07522" w:rsidRPr="0032292A">
                        <w:rPr>
                          <w:b/>
                          <w:sz w:val="22"/>
                          <w:szCs w:val="22"/>
                        </w:rPr>
                        <w:t>Bergognone</w:t>
                      </w:r>
                      <w:proofErr w:type="spellEnd"/>
                      <w:r w:rsidR="00607522" w:rsidRPr="0032292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FC154F" w14:textId="77777777" w:rsidR="00242D42" w:rsidRDefault="00903C7D" w:rsidP="00242D42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554795">
                        <w:rPr>
                          <w:b/>
                          <w:sz w:val="20"/>
                          <w:szCs w:val="20"/>
                        </w:rPr>
                        <w:t>Credit:</w:t>
                      </w:r>
                      <w:r w:rsidRPr="005547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4795">
                        <w:rPr>
                          <w:sz w:val="20"/>
                          <w:szCs w:val="20"/>
                        </w:rPr>
                        <w:t>Bergognone</w:t>
                      </w:r>
                      <w:proofErr w:type="spellEnd"/>
                      <w:r w:rsidRPr="00554795">
                        <w:rPr>
                          <w:sz w:val="20"/>
                          <w:szCs w:val="20"/>
                        </w:rPr>
                        <w:t>, “The Assumption of the Virgin,” Oil and Gold on Wood, ca. 1453-1523, Fletcher Fund, 1926, courtesy of The Metropolitan Museum of Art, New York, NY.</w:t>
                      </w:r>
                    </w:p>
                    <w:p w14:paraId="26637942" w14:textId="78A675A4" w:rsidR="00607522" w:rsidRPr="00242D42" w:rsidRDefault="0069563D" w:rsidP="00242D42">
                      <w:pPr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607522" w:rsidRPr="0032292A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The Assumption</w:t>
                        </w:r>
                      </w:hyperlink>
                      <w:r w:rsidR="00607522" w:rsidRPr="0032292A">
                        <w:rPr>
                          <w:b/>
                          <w:sz w:val="22"/>
                          <w:szCs w:val="22"/>
                        </w:rPr>
                        <w:t xml:space="preserve">, Laurent de La </w:t>
                      </w:r>
                      <w:proofErr w:type="spellStart"/>
                      <w:r w:rsidR="00607522" w:rsidRPr="0032292A">
                        <w:rPr>
                          <w:b/>
                          <w:sz w:val="22"/>
                          <w:szCs w:val="22"/>
                        </w:rPr>
                        <w:t>Hyre</w:t>
                      </w:r>
                      <w:proofErr w:type="spellEnd"/>
                    </w:p>
                    <w:p w14:paraId="0F9C8CBB" w14:textId="5FC34A46" w:rsidR="00EE5A13" w:rsidRPr="00554795" w:rsidRDefault="00EE5A13" w:rsidP="00EE5A13">
                      <w:pPr>
                        <w:rPr>
                          <w:sz w:val="20"/>
                          <w:szCs w:val="20"/>
                        </w:rPr>
                      </w:pPr>
                      <w:r w:rsidRPr="00554795">
                        <w:rPr>
                          <w:b/>
                          <w:sz w:val="20"/>
                          <w:szCs w:val="20"/>
                        </w:rPr>
                        <w:t xml:space="preserve">Credit: </w:t>
                      </w:r>
                      <w:r w:rsidRPr="00554795">
                        <w:rPr>
                          <w:sz w:val="20"/>
                          <w:szCs w:val="20"/>
                        </w:rPr>
                        <w:t xml:space="preserve">De La </w:t>
                      </w:r>
                      <w:proofErr w:type="spellStart"/>
                      <w:r w:rsidRPr="00554795">
                        <w:rPr>
                          <w:sz w:val="20"/>
                          <w:szCs w:val="20"/>
                        </w:rPr>
                        <w:t>Hyre</w:t>
                      </w:r>
                      <w:proofErr w:type="spellEnd"/>
                      <w:r w:rsidRPr="00554795">
                        <w:rPr>
                          <w:sz w:val="20"/>
                          <w:szCs w:val="20"/>
                        </w:rPr>
                        <w:t xml:space="preserve">, Laurent, “The Assumption,” oil on canvas, ca. 1653, The </w:t>
                      </w:r>
                      <w:proofErr w:type="spellStart"/>
                      <w:r w:rsidRPr="00554795">
                        <w:rPr>
                          <w:sz w:val="20"/>
                          <w:szCs w:val="20"/>
                        </w:rPr>
                        <w:t>Ciechanowiecki</w:t>
                      </w:r>
                      <w:proofErr w:type="spellEnd"/>
                      <w:r w:rsidRPr="00554795">
                        <w:rPr>
                          <w:sz w:val="20"/>
                          <w:szCs w:val="20"/>
                        </w:rPr>
                        <w:t xml:space="preserve"> Collection, Gift of The Ahmanson Foundation, courtesy of the Los Angeles County Museum of Art.</w:t>
                      </w:r>
                    </w:p>
                    <w:p w14:paraId="5E4D4088" w14:textId="77777777" w:rsidR="00607522" w:rsidRPr="00607522" w:rsidRDefault="00607522"/>
                  </w:txbxContent>
                </v:textbox>
                <w10:wrap type="square"/>
              </v:shape>
            </w:pict>
          </mc:Fallback>
        </mc:AlternateContent>
      </w:r>
      <w:r w:rsidR="00431E6C" w:rsidRPr="00C72943">
        <w:t>We can see how, t</w:t>
      </w:r>
      <w:r w:rsidR="004F31A8" w:rsidRPr="00C72943">
        <w:t>hroughout</w:t>
      </w:r>
      <w:r w:rsidR="00431E6C" w:rsidRPr="00C72943">
        <w:t xml:space="preserve"> her life,</w:t>
      </w:r>
      <w:r w:rsidR="004F31A8" w:rsidRPr="00C72943">
        <w:t xml:space="preserve"> </w:t>
      </w:r>
      <w:r w:rsidR="00480976" w:rsidRPr="00C72943">
        <w:t>the Blessed Mother</w:t>
      </w:r>
      <w:r w:rsidR="00716DE8" w:rsidRPr="00C72943">
        <w:t xml:space="preserve"> continually</w:t>
      </w:r>
      <w:r w:rsidR="004F31A8" w:rsidRPr="00C72943">
        <w:t xml:space="preserve"> </w:t>
      </w:r>
      <w:r w:rsidR="00431E6C" w:rsidRPr="00C72943">
        <w:t>chose to go deeper into her relationship with God. She</w:t>
      </w:r>
      <w:r w:rsidR="00480976" w:rsidRPr="00C72943">
        <w:t xml:space="preserve"> modeled </w:t>
      </w:r>
      <w:r w:rsidR="00703A06" w:rsidRPr="00C72943">
        <w:t xml:space="preserve">how </w:t>
      </w:r>
      <w:r w:rsidR="00480976" w:rsidRPr="00C72943">
        <w:t xml:space="preserve">to value and respect </w:t>
      </w:r>
      <w:r w:rsidR="00431E6C" w:rsidRPr="00C72943">
        <w:t>His precious</w:t>
      </w:r>
      <w:r w:rsidR="00480976" w:rsidRPr="00C72943">
        <w:t xml:space="preserve"> gift</w:t>
      </w:r>
      <w:r w:rsidR="00431E6C" w:rsidRPr="00C72943">
        <w:t xml:space="preserve"> of human life</w:t>
      </w:r>
      <w:r w:rsidR="00480976" w:rsidRPr="00C72943">
        <w:t xml:space="preserve">, from the moment of conception to </w:t>
      </w:r>
      <w:r w:rsidR="00A84535" w:rsidRPr="00C72943">
        <w:t xml:space="preserve">its </w:t>
      </w:r>
      <w:r w:rsidR="00480976" w:rsidRPr="00C72943">
        <w:t xml:space="preserve">natural </w:t>
      </w:r>
      <w:r w:rsidR="00A84535" w:rsidRPr="00C72943">
        <w:t>end</w:t>
      </w:r>
      <w:r w:rsidR="00703A06" w:rsidRPr="00C72943">
        <w:t xml:space="preserve">. </w:t>
      </w:r>
      <w:r w:rsidR="00480976" w:rsidRPr="00C72943">
        <w:t>In</w:t>
      </w:r>
      <w:r w:rsidR="00703A06" w:rsidRPr="00C72943">
        <w:t xml:space="preserve"> the Annunciation, </w:t>
      </w:r>
      <w:r w:rsidR="008A6377" w:rsidRPr="00C72943">
        <w:t xml:space="preserve">through her “yes,” </w:t>
      </w:r>
      <w:r w:rsidR="00703A06" w:rsidRPr="00C72943">
        <w:t xml:space="preserve">Mary </w:t>
      </w:r>
      <w:r w:rsidR="00480976" w:rsidRPr="00C72943">
        <w:t>witnesse</w:t>
      </w:r>
      <w:r w:rsidR="00431E6C" w:rsidRPr="00C72943">
        <w:t>d</w:t>
      </w:r>
      <w:r w:rsidR="00480976" w:rsidRPr="00C72943">
        <w:t xml:space="preserve"> to</w:t>
      </w:r>
      <w:r w:rsidR="00703A06" w:rsidRPr="00C72943">
        <w:t xml:space="preserve"> the undeniable humanity of </w:t>
      </w:r>
      <w:r w:rsidR="00480976" w:rsidRPr="00C72943">
        <w:t>unborn children as she conceive</w:t>
      </w:r>
      <w:r w:rsidR="00431E6C" w:rsidRPr="00C72943">
        <w:t>d</w:t>
      </w:r>
      <w:r w:rsidR="008A6377" w:rsidRPr="00C72943">
        <w:t xml:space="preserve"> and carried</w:t>
      </w:r>
      <w:r w:rsidR="00480976" w:rsidRPr="00C72943">
        <w:t xml:space="preserve"> the Christ child in her womb. </w:t>
      </w:r>
      <w:r w:rsidR="00EC3623" w:rsidRPr="00C72943">
        <w:t>After the Annunciation, having learned</w:t>
      </w:r>
      <w:r w:rsidR="00480976" w:rsidRPr="00C72943">
        <w:t xml:space="preserve"> that </w:t>
      </w:r>
      <w:r w:rsidR="00703A06" w:rsidRPr="00C72943">
        <w:t>her cousin Elizabeth</w:t>
      </w:r>
      <w:r w:rsidR="00480976" w:rsidRPr="00C72943">
        <w:t xml:space="preserve"> </w:t>
      </w:r>
      <w:r w:rsidR="00431E6C" w:rsidRPr="00C72943">
        <w:t>wa</w:t>
      </w:r>
      <w:r w:rsidR="00480976" w:rsidRPr="00C72943">
        <w:t xml:space="preserve">s with child, she </w:t>
      </w:r>
      <w:r w:rsidR="00431E6C" w:rsidRPr="00C72943">
        <w:t>went</w:t>
      </w:r>
      <w:r w:rsidR="00F329DC" w:rsidRPr="00C72943">
        <w:t xml:space="preserve"> in haste</w:t>
      </w:r>
      <w:r w:rsidR="00431E6C" w:rsidRPr="00C72943">
        <w:t xml:space="preserve"> </w:t>
      </w:r>
      <w:r w:rsidR="00480976" w:rsidRPr="00C72943">
        <w:t>to her aid</w:t>
      </w:r>
      <w:r w:rsidR="00431E6C" w:rsidRPr="00C72943">
        <w:t xml:space="preserve">. </w:t>
      </w:r>
    </w:p>
    <w:p w14:paraId="5D380ABD" w14:textId="69E6F489" w:rsidR="00431E6C" w:rsidRPr="00C72943" w:rsidRDefault="008A6377" w:rsidP="002917BF">
      <w:pPr>
        <w:spacing w:after="120"/>
      </w:pPr>
      <w:r w:rsidRPr="00C72943">
        <w:t>Our Blessed Mother s</w:t>
      </w:r>
      <w:r w:rsidR="00431E6C" w:rsidRPr="00C72943">
        <w:t>how</w:t>
      </w:r>
      <w:r w:rsidRPr="00C72943">
        <w:t>s us how</w:t>
      </w:r>
      <w:r w:rsidR="006368ED" w:rsidRPr="00C72943">
        <w:t xml:space="preserve"> the way we live today can</w:t>
      </w:r>
      <w:r w:rsidR="00431E6C" w:rsidRPr="00C72943">
        <w:t xml:space="preserve"> prepare </w:t>
      </w:r>
      <w:r w:rsidR="006368ED" w:rsidRPr="00C72943">
        <w:t>us, in hope, to also enter into heavenly glory</w:t>
      </w:r>
      <w:r w:rsidR="00441E01" w:rsidRPr="00C72943">
        <w:t xml:space="preserve"> at the end of our lives</w:t>
      </w:r>
      <w:r w:rsidR="00431E6C" w:rsidRPr="00C72943">
        <w:t xml:space="preserve">. </w:t>
      </w:r>
      <w:r w:rsidRPr="00C72943">
        <w:t>Are we open to God’s precious gift of new life? How do we support expectant mothers and parents of young children? Do</w:t>
      </w:r>
      <w:r w:rsidR="00F329DC" w:rsidRPr="00C72943">
        <w:t xml:space="preserve"> we</w:t>
      </w:r>
      <w:r w:rsidRPr="00C72943">
        <w:t xml:space="preserve"> prioritize showing our love and care for loved ones who are ill or aging? </w:t>
      </w:r>
    </w:p>
    <w:p w14:paraId="4232DCB1" w14:textId="77777777" w:rsidR="00441E01" w:rsidRPr="00C72943" w:rsidRDefault="008A6377" w:rsidP="00441E01">
      <w:pPr>
        <w:spacing w:after="60"/>
        <w:rPr>
          <w:i/>
          <w:iCs/>
        </w:rPr>
      </w:pPr>
      <w:r w:rsidRPr="00C72943">
        <w:rPr>
          <w:i/>
          <w:iCs/>
        </w:rPr>
        <w:t>Holy Mary, Mother of God, pray for us sinners, now and at the hour of our death. Amen.</w:t>
      </w:r>
    </w:p>
    <w:p w14:paraId="4B225DF7" w14:textId="77777777" w:rsidR="00DE3DEA" w:rsidRDefault="00DE3DEA" w:rsidP="00C72943">
      <w:pPr>
        <w:rPr>
          <w:i/>
          <w:iCs/>
          <w:sz w:val="16"/>
          <w:szCs w:val="16"/>
        </w:rPr>
      </w:pPr>
    </w:p>
    <w:p w14:paraId="50642F6D" w14:textId="007B99B0" w:rsidR="007E01B7" w:rsidRPr="00DE3DEA" w:rsidRDefault="000D2D38" w:rsidP="00DE3DEA">
      <w:pPr>
        <w:rPr>
          <w:i/>
          <w:iCs/>
          <w:sz w:val="23"/>
          <w:szCs w:val="23"/>
        </w:rPr>
      </w:pPr>
      <w:r w:rsidRPr="000D2D38">
        <w:rPr>
          <w:i/>
          <w:iCs/>
          <w:sz w:val="16"/>
          <w:szCs w:val="16"/>
        </w:rPr>
        <w:t>Catechism of the Catholic Church</w:t>
      </w:r>
      <w:r w:rsidRPr="000D2D38">
        <w:rPr>
          <w:sz w:val="16"/>
          <w:szCs w:val="16"/>
        </w:rPr>
        <w:t>, second edition © 2000 LEV-USCCB. Used with permission.</w:t>
      </w:r>
      <w:r w:rsidR="00815B67">
        <w:rPr>
          <w:sz w:val="16"/>
          <w:szCs w:val="16"/>
        </w:rPr>
        <w:t xml:space="preserve"> All rights reserved.</w:t>
      </w:r>
      <w:r>
        <w:rPr>
          <w:sz w:val="16"/>
          <w:szCs w:val="16"/>
        </w:rPr>
        <w:br/>
      </w:r>
    </w:p>
    <w:p w14:paraId="6E89E462" w14:textId="77777777" w:rsidR="00C72943" w:rsidRDefault="00C72943" w:rsidP="000D3A35">
      <w:pPr>
        <w:spacing w:after="120"/>
        <w:rPr>
          <w:rFonts w:eastAsia="Calibri"/>
          <w:b/>
          <w:smallCaps/>
          <w:sz w:val="32"/>
          <w:szCs w:val="32"/>
        </w:rPr>
      </w:pPr>
      <w:bookmarkStart w:id="3" w:name="_GoBack"/>
      <w:bookmarkEnd w:id="1"/>
      <w:bookmarkEnd w:id="2"/>
      <w:bookmarkEnd w:id="3"/>
    </w:p>
    <w:sectPr w:rsidR="00C72943" w:rsidSect="00E568C4">
      <w:footerReference w:type="default" r:id="rId17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CFA9" w14:textId="77777777" w:rsidR="00912D10" w:rsidRDefault="00912D10">
      <w:r>
        <w:separator/>
      </w:r>
    </w:p>
  </w:endnote>
  <w:endnote w:type="continuationSeparator" w:id="0">
    <w:p w14:paraId="03A06D55" w14:textId="77777777" w:rsidR="00912D10" w:rsidRDefault="009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A639" w14:textId="7326386E" w:rsidR="000E2C42" w:rsidRPr="00427256" w:rsidRDefault="000E2C42" w:rsidP="000E2C42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7E01B7">
      <w:rPr>
        <w:b/>
        <w:sz w:val="20"/>
        <w:szCs w:val="20"/>
      </w:rPr>
      <w:t>20</w:t>
    </w:r>
    <w:r>
      <w:rPr>
        <w:b/>
        <w:sz w:val="20"/>
        <w:szCs w:val="20"/>
      </w:rPr>
      <w:t>-202</w:t>
    </w:r>
    <w:r w:rsidR="007E01B7">
      <w:rPr>
        <w:b/>
        <w:sz w:val="20"/>
        <w:szCs w:val="20"/>
      </w:rPr>
      <w:t>1</w:t>
    </w:r>
    <w:r>
      <w:rPr>
        <w:b/>
        <w:sz w:val="20"/>
        <w:szCs w:val="20"/>
      </w:rPr>
      <w:t xml:space="preserve"> Respect Life Program materials! </w:t>
    </w:r>
    <w:hyperlink r:id="rId1" w:history="1">
      <w:r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750B7A0" w14:textId="3B1B5D25" w:rsidR="00E568C4" w:rsidRPr="000E2C42" w:rsidRDefault="000E2C42" w:rsidP="000E2C42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7E01B7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6D20" w14:textId="77777777" w:rsidR="00912D10" w:rsidRDefault="00912D10">
      <w:r>
        <w:separator/>
      </w:r>
    </w:p>
  </w:footnote>
  <w:footnote w:type="continuationSeparator" w:id="0">
    <w:p w14:paraId="2DFA5524" w14:textId="77777777" w:rsidR="00912D10" w:rsidRDefault="0091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D1"/>
    <w:multiLevelType w:val="hybridMultilevel"/>
    <w:tmpl w:val="D95E6340"/>
    <w:lvl w:ilvl="0" w:tplc="FB50D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69EA"/>
    <w:multiLevelType w:val="hybridMultilevel"/>
    <w:tmpl w:val="E0329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4A9A"/>
    <w:multiLevelType w:val="hybridMultilevel"/>
    <w:tmpl w:val="663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32ACD"/>
    <w:multiLevelType w:val="hybridMultilevel"/>
    <w:tmpl w:val="4FC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65C60"/>
    <w:multiLevelType w:val="hybridMultilevel"/>
    <w:tmpl w:val="EC806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9"/>
    <w:rsid w:val="00005F9E"/>
    <w:rsid w:val="000135D4"/>
    <w:rsid w:val="00017EB2"/>
    <w:rsid w:val="00022AE7"/>
    <w:rsid w:val="0003431D"/>
    <w:rsid w:val="00041E92"/>
    <w:rsid w:val="00042C47"/>
    <w:rsid w:val="00044113"/>
    <w:rsid w:val="000470C4"/>
    <w:rsid w:val="0006441C"/>
    <w:rsid w:val="00081230"/>
    <w:rsid w:val="00084E2C"/>
    <w:rsid w:val="000914DD"/>
    <w:rsid w:val="00097AED"/>
    <w:rsid w:val="000A1C1F"/>
    <w:rsid w:val="000A22F1"/>
    <w:rsid w:val="000C0267"/>
    <w:rsid w:val="000D22A5"/>
    <w:rsid w:val="000D2D38"/>
    <w:rsid w:val="000D3A35"/>
    <w:rsid w:val="000D4FC8"/>
    <w:rsid w:val="000E2C42"/>
    <w:rsid w:val="000E43D0"/>
    <w:rsid w:val="000E6303"/>
    <w:rsid w:val="000F77A9"/>
    <w:rsid w:val="00104B97"/>
    <w:rsid w:val="0011719D"/>
    <w:rsid w:val="00124C06"/>
    <w:rsid w:val="001428FB"/>
    <w:rsid w:val="00142946"/>
    <w:rsid w:val="001463A5"/>
    <w:rsid w:val="0018254B"/>
    <w:rsid w:val="00187A64"/>
    <w:rsid w:val="00196427"/>
    <w:rsid w:val="001A23A5"/>
    <w:rsid w:val="001A757B"/>
    <w:rsid w:val="001B12C1"/>
    <w:rsid w:val="001B1629"/>
    <w:rsid w:val="001B4EA9"/>
    <w:rsid w:val="001B61B7"/>
    <w:rsid w:val="001C6622"/>
    <w:rsid w:val="001D513E"/>
    <w:rsid w:val="001E1197"/>
    <w:rsid w:val="001F0CD3"/>
    <w:rsid w:val="001F3057"/>
    <w:rsid w:val="001F44D3"/>
    <w:rsid w:val="00202BA4"/>
    <w:rsid w:val="00215B7A"/>
    <w:rsid w:val="00215D9C"/>
    <w:rsid w:val="00236F85"/>
    <w:rsid w:val="00242D42"/>
    <w:rsid w:val="002615EC"/>
    <w:rsid w:val="00264464"/>
    <w:rsid w:val="0026623D"/>
    <w:rsid w:val="002917BF"/>
    <w:rsid w:val="0029401F"/>
    <w:rsid w:val="00297E79"/>
    <w:rsid w:val="002A4FFC"/>
    <w:rsid w:val="002B53A3"/>
    <w:rsid w:val="002B5DFE"/>
    <w:rsid w:val="002C2483"/>
    <w:rsid w:val="002D4386"/>
    <w:rsid w:val="0032292A"/>
    <w:rsid w:val="00332097"/>
    <w:rsid w:val="003336AC"/>
    <w:rsid w:val="003351FF"/>
    <w:rsid w:val="00372CDE"/>
    <w:rsid w:val="00373DB8"/>
    <w:rsid w:val="00386150"/>
    <w:rsid w:val="003A4A1A"/>
    <w:rsid w:val="003A7CB0"/>
    <w:rsid w:val="003B5336"/>
    <w:rsid w:val="003B6CFD"/>
    <w:rsid w:val="003C197D"/>
    <w:rsid w:val="003C337C"/>
    <w:rsid w:val="003C750D"/>
    <w:rsid w:val="003F320F"/>
    <w:rsid w:val="00400347"/>
    <w:rsid w:val="0040173C"/>
    <w:rsid w:val="00405321"/>
    <w:rsid w:val="00415D83"/>
    <w:rsid w:val="00424C9C"/>
    <w:rsid w:val="00426DDE"/>
    <w:rsid w:val="00426FA3"/>
    <w:rsid w:val="004318A1"/>
    <w:rsid w:val="00431E6C"/>
    <w:rsid w:val="00441E01"/>
    <w:rsid w:val="00447FC6"/>
    <w:rsid w:val="004529DF"/>
    <w:rsid w:val="004551C4"/>
    <w:rsid w:val="00472F78"/>
    <w:rsid w:val="00476D0B"/>
    <w:rsid w:val="00480976"/>
    <w:rsid w:val="00484379"/>
    <w:rsid w:val="00491792"/>
    <w:rsid w:val="004A1046"/>
    <w:rsid w:val="004A3E94"/>
    <w:rsid w:val="004B27C3"/>
    <w:rsid w:val="004B2A62"/>
    <w:rsid w:val="004B39BB"/>
    <w:rsid w:val="004D70F5"/>
    <w:rsid w:val="004D7833"/>
    <w:rsid w:val="004E4301"/>
    <w:rsid w:val="004E71D4"/>
    <w:rsid w:val="004F31A8"/>
    <w:rsid w:val="00500C99"/>
    <w:rsid w:val="00510877"/>
    <w:rsid w:val="00514E87"/>
    <w:rsid w:val="005173DD"/>
    <w:rsid w:val="005217ED"/>
    <w:rsid w:val="005277F7"/>
    <w:rsid w:val="00531979"/>
    <w:rsid w:val="0054375F"/>
    <w:rsid w:val="00543E40"/>
    <w:rsid w:val="00554795"/>
    <w:rsid w:val="00556118"/>
    <w:rsid w:val="0055693C"/>
    <w:rsid w:val="0057654D"/>
    <w:rsid w:val="00582555"/>
    <w:rsid w:val="005832E2"/>
    <w:rsid w:val="005A4F52"/>
    <w:rsid w:val="005B7F5F"/>
    <w:rsid w:val="005C0182"/>
    <w:rsid w:val="005C370E"/>
    <w:rsid w:val="005C6A8E"/>
    <w:rsid w:val="005D2DC7"/>
    <w:rsid w:val="005D3ED4"/>
    <w:rsid w:val="00607522"/>
    <w:rsid w:val="006336A9"/>
    <w:rsid w:val="00633E63"/>
    <w:rsid w:val="00634A70"/>
    <w:rsid w:val="006368ED"/>
    <w:rsid w:val="0064400E"/>
    <w:rsid w:val="00653EE5"/>
    <w:rsid w:val="006621C1"/>
    <w:rsid w:val="006761FC"/>
    <w:rsid w:val="0069193C"/>
    <w:rsid w:val="00691AAE"/>
    <w:rsid w:val="0069563D"/>
    <w:rsid w:val="006A3345"/>
    <w:rsid w:val="006A3AC5"/>
    <w:rsid w:val="006A7656"/>
    <w:rsid w:val="006B17A3"/>
    <w:rsid w:val="006B3CA3"/>
    <w:rsid w:val="006C4A46"/>
    <w:rsid w:val="006D7324"/>
    <w:rsid w:val="006E439F"/>
    <w:rsid w:val="006E774A"/>
    <w:rsid w:val="00703A06"/>
    <w:rsid w:val="007056F6"/>
    <w:rsid w:val="007077D1"/>
    <w:rsid w:val="00716DE8"/>
    <w:rsid w:val="007225F2"/>
    <w:rsid w:val="007526CA"/>
    <w:rsid w:val="007715F2"/>
    <w:rsid w:val="007741D6"/>
    <w:rsid w:val="007747F6"/>
    <w:rsid w:val="00792F0A"/>
    <w:rsid w:val="00793F12"/>
    <w:rsid w:val="00796BC3"/>
    <w:rsid w:val="007A4FFB"/>
    <w:rsid w:val="007A744C"/>
    <w:rsid w:val="007B56E4"/>
    <w:rsid w:val="007D50C4"/>
    <w:rsid w:val="007E01B7"/>
    <w:rsid w:val="007E2D4F"/>
    <w:rsid w:val="007E518E"/>
    <w:rsid w:val="008056F4"/>
    <w:rsid w:val="00806EAD"/>
    <w:rsid w:val="00815B67"/>
    <w:rsid w:val="00821126"/>
    <w:rsid w:val="00822844"/>
    <w:rsid w:val="008254E4"/>
    <w:rsid w:val="0082717D"/>
    <w:rsid w:val="00827270"/>
    <w:rsid w:val="00833E06"/>
    <w:rsid w:val="008342EC"/>
    <w:rsid w:val="00865DDF"/>
    <w:rsid w:val="008701CE"/>
    <w:rsid w:val="008732AE"/>
    <w:rsid w:val="00884E47"/>
    <w:rsid w:val="00896EA0"/>
    <w:rsid w:val="008A6377"/>
    <w:rsid w:val="008C331A"/>
    <w:rsid w:val="008C5947"/>
    <w:rsid w:val="008F3298"/>
    <w:rsid w:val="008F6B0E"/>
    <w:rsid w:val="00903C7D"/>
    <w:rsid w:val="00912D10"/>
    <w:rsid w:val="00914AD5"/>
    <w:rsid w:val="00927A0E"/>
    <w:rsid w:val="009362AB"/>
    <w:rsid w:val="00942B9E"/>
    <w:rsid w:val="009458EA"/>
    <w:rsid w:val="009478CA"/>
    <w:rsid w:val="00950660"/>
    <w:rsid w:val="0096457C"/>
    <w:rsid w:val="00972481"/>
    <w:rsid w:val="009874EE"/>
    <w:rsid w:val="009B24BF"/>
    <w:rsid w:val="009C2D43"/>
    <w:rsid w:val="009C619A"/>
    <w:rsid w:val="009E419A"/>
    <w:rsid w:val="009E41DE"/>
    <w:rsid w:val="009F24A6"/>
    <w:rsid w:val="009F6BCC"/>
    <w:rsid w:val="00A26825"/>
    <w:rsid w:val="00A35853"/>
    <w:rsid w:val="00A4601B"/>
    <w:rsid w:val="00A607D5"/>
    <w:rsid w:val="00A6324D"/>
    <w:rsid w:val="00A65372"/>
    <w:rsid w:val="00A76B4A"/>
    <w:rsid w:val="00A80F92"/>
    <w:rsid w:val="00A84535"/>
    <w:rsid w:val="00A8621B"/>
    <w:rsid w:val="00A87C8F"/>
    <w:rsid w:val="00AC503D"/>
    <w:rsid w:val="00AD6BAA"/>
    <w:rsid w:val="00AE11C7"/>
    <w:rsid w:val="00AE536A"/>
    <w:rsid w:val="00AF7119"/>
    <w:rsid w:val="00B26668"/>
    <w:rsid w:val="00B3312A"/>
    <w:rsid w:val="00B5543E"/>
    <w:rsid w:val="00B670C1"/>
    <w:rsid w:val="00B67605"/>
    <w:rsid w:val="00B75904"/>
    <w:rsid w:val="00B91091"/>
    <w:rsid w:val="00BA517E"/>
    <w:rsid w:val="00BA5687"/>
    <w:rsid w:val="00BB215B"/>
    <w:rsid w:val="00BB414B"/>
    <w:rsid w:val="00BD4769"/>
    <w:rsid w:val="00BE46D5"/>
    <w:rsid w:val="00BF05A8"/>
    <w:rsid w:val="00BF3FA5"/>
    <w:rsid w:val="00C0635E"/>
    <w:rsid w:val="00C27649"/>
    <w:rsid w:val="00C33214"/>
    <w:rsid w:val="00C612EB"/>
    <w:rsid w:val="00C62CDE"/>
    <w:rsid w:val="00C70E4A"/>
    <w:rsid w:val="00C72943"/>
    <w:rsid w:val="00C8376D"/>
    <w:rsid w:val="00C8398B"/>
    <w:rsid w:val="00C91F8A"/>
    <w:rsid w:val="00C931B1"/>
    <w:rsid w:val="00C937F0"/>
    <w:rsid w:val="00CA2DA4"/>
    <w:rsid w:val="00CA4CBD"/>
    <w:rsid w:val="00CA5718"/>
    <w:rsid w:val="00CB5BAA"/>
    <w:rsid w:val="00CB72E8"/>
    <w:rsid w:val="00CB7CC8"/>
    <w:rsid w:val="00CC690D"/>
    <w:rsid w:val="00CD0A25"/>
    <w:rsid w:val="00CE2C50"/>
    <w:rsid w:val="00CE2C7C"/>
    <w:rsid w:val="00CE4A02"/>
    <w:rsid w:val="00CF6E4E"/>
    <w:rsid w:val="00D03216"/>
    <w:rsid w:val="00D04252"/>
    <w:rsid w:val="00D41A23"/>
    <w:rsid w:val="00D46F52"/>
    <w:rsid w:val="00D47493"/>
    <w:rsid w:val="00D47A75"/>
    <w:rsid w:val="00D521F0"/>
    <w:rsid w:val="00D52D7C"/>
    <w:rsid w:val="00D54117"/>
    <w:rsid w:val="00D615AF"/>
    <w:rsid w:val="00D622D8"/>
    <w:rsid w:val="00D628E9"/>
    <w:rsid w:val="00D71F70"/>
    <w:rsid w:val="00D75E7C"/>
    <w:rsid w:val="00D931DB"/>
    <w:rsid w:val="00D96062"/>
    <w:rsid w:val="00DC14FE"/>
    <w:rsid w:val="00DC1763"/>
    <w:rsid w:val="00DC6B4C"/>
    <w:rsid w:val="00DE1484"/>
    <w:rsid w:val="00DE3DEA"/>
    <w:rsid w:val="00DE4538"/>
    <w:rsid w:val="00DF0401"/>
    <w:rsid w:val="00DF099D"/>
    <w:rsid w:val="00E119EB"/>
    <w:rsid w:val="00E11ABB"/>
    <w:rsid w:val="00E17A05"/>
    <w:rsid w:val="00E254CE"/>
    <w:rsid w:val="00E2770E"/>
    <w:rsid w:val="00E358FB"/>
    <w:rsid w:val="00E41C94"/>
    <w:rsid w:val="00E431BA"/>
    <w:rsid w:val="00E657FE"/>
    <w:rsid w:val="00E71969"/>
    <w:rsid w:val="00E727D4"/>
    <w:rsid w:val="00E8716D"/>
    <w:rsid w:val="00EA3B19"/>
    <w:rsid w:val="00EA5CC8"/>
    <w:rsid w:val="00EB29D6"/>
    <w:rsid w:val="00EC3623"/>
    <w:rsid w:val="00ED4FA8"/>
    <w:rsid w:val="00ED511B"/>
    <w:rsid w:val="00ED5814"/>
    <w:rsid w:val="00EE0DE8"/>
    <w:rsid w:val="00EE3250"/>
    <w:rsid w:val="00EE4661"/>
    <w:rsid w:val="00EE5A13"/>
    <w:rsid w:val="00F02123"/>
    <w:rsid w:val="00F037B1"/>
    <w:rsid w:val="00F0576E"/>
    <w:rsid w:val="00F13344"/>
    <w:rsid w:val="00F24555"/>
    <w:rsid w:val="00F27C30"/>
    <w:rsid w:val="00F329DC"/>
    <w:rsid w:val="00F3758D"/>
    <w:rsid w:val="00F74FF1"/>
    <w:rsid w:val="00F80C57"/>
    <w:rsid w:val="00F97D6E"/>
    <w:rsid w:val="00FA68DB"/>
    <w:rsid w:val="00FB761F"/>
    <w:rsid w:val="00FC0CF0"/>
    <w:rsid w:val="00FD668E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6891"/>
  <w15:chartTrackingRefBased/>
  <w15:docId w15:val="{54693DB4-0373-49DD-8DB9-9877677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119"/>
    <w:pPr>
      <w:ind w:left="720"/>
      <w:contextualSpacing/>
    </w:pPr>
  </w:style>
  <w:style w:type="table" w:styleId="TableGrid">
    <w:name w:val="Table Grid"/>
    <w:basedOn w:val="TableNormal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B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EA0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104B9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C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llections.lacma.org/node/2019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metmuseum.org/art/collection/search/435656?&amp;searchField=All&amp;ft=assumption&amp;offset=20&amp;rpp=20&amp;amp;pos=30" TargetMode="External"/><Relationship Id="rId10" Type="http://schemas.openxmlformats.org/officeDocument/2006/relationships/hyperlink" Target="https://collections.lacma.org/node/2019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tmuseum.org/art/collection/search/435656?&amp;searchField=All&amp;ft=assumption&amp;offset=20&amp;rpp=20&amp;amp;pos=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734B-0D10-45DD-994B-F3B4CA25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PLIntern_MMcCracken</dc:creator>
  <cp:keywords/>
  <dc:description/>
  <cp:lastModifiedBy>Chun, Chad</cp:lastModifiedBy>
  <cp:revision>2</cp:revision>
  <dcterms:created xsi:type="dcterms:W3CDTF">2021-07-23T02:44:00Z</dcterms:created>
  <dcterms:modified xsi:type="dcterms:W3CDTF">2021-07-23T02:44:00Z</dcterms:modified>
</cp:coreProperties>
</file>